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D6" w:rsidRPr="003160E4" w:rsidRDefault="007A37D6" w:rsidP="00632F37">
      <w:pPr>
        <w:spacing w:after="60"/>
        <w:rPr>
          <w:b/>
          <w:color w:val="516529"/>
          <w:sz w:val="40"/>
        </w:rPr>
      </w:pPr>
      <w:r w:rsidRPr="003160E4">
        <w:rPr>
          <w:b/>
          <w:color w:val="516529"/>
          <w:sz w:val="40"/>
        </w:rPr>
        <w:t xml:space="preserve">Jackson County Prevention Coalition: </w:t>
      </w:r>
    </w:p>
    <w:p w:rsidR="00533B60" w:rsidRPr="003160E4" w:rsidRDefault="00B04565" w:rsidP="00632F37">
      <w:pPr>
        <w:spacing w:after="120"/>
        <w:rPr>
          <w:b/>
          <w:color w:val="516529"/>
          <w:sz w:val="40"/>
        </w:rPr>
      </w:pPr>
      <w:r w:rsidRPr="003160E4">
        <w:rPr>
          <w:b/>
          <w:color w:val="516529"/>
          <w:sz w:val="40"/>
        </w:rPr>
        <w:t>Collecting Data that</w:t>
      </w:r>
      <w:r w:rsidR="00DD751E" w:rsidRPr="003160E4">
        <w:rPr>
          <w:b/>
          <w:color w:val="516529"/>
          <w:sz w:val="40"/>
        </w:rPr>
        <w:t xml:space="preserve"> Represents</w:t>
      </w:r>
      <w:r w:rsidRPr="003160E4">
        <w:rPr>
          <w:b/>
          <w:color w:val="516529"/>
          <w:sz w:val="40"/>
        </w:rPr>
        <w:t xml:space="preserve"> the Community</w:t>
      </w:r>
    </w:p>
    <w:p w:rsidR="00A92A71" w:rsidRPr="00A5682B" w:rsidRDefault="00DD751E" w:rsidP="00B04565">
      <w:pPr>
        <w:rPr>
          <w:sz w:val="26"/>
          <w:szCs w:val="26"/>
        </w:rPr>
      </w:pPr>
      <w:r w:rsidRPr="00A5682B"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113665</wp:posOffset>
            </wp:positionV>
            <wp:extent cx="2486025" cy="1654810"/>
            <wp:effectExtent l="0" t="0" r="9525" b="2540"/>
            <wp:wrapTight wrapText="bothSides">
              <wp:wrapPolygon edited="0">
                <wp:start x="0" y="0"/>
                <wp:lineTo x="0" y="21384"/>
                <wp:lineTo x="21517" y="21384"/>
                <wp:lineTo x="21517" y="0"/>
                <wp:lineTo x="0" y="0"/>
              </wp:wrapPolygon>
            </wp:wrapTight>
            <wp:docPr id="1" name="Picture 1" descr="Description: Jackson County map">
              <a:hlinkClick xmlns:a="http://schemas.openxmlformats.org/drawingml/2006/main" r:id="rId6" tooltip="&quot;Click here to enlarge the map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ackson County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A71" w:rsidRPr="00A5682B">
        <w:rPr>
          <w:sz w:val="26"/>
          <w:szCs w:val="26"/>
        </w:rPr>
        <w:t>The Strategic Prevention Framew</w:t>
      </w:r>
      <w:r w:rsidRPr="00A5682B">
        <w:rPr>
          <w:sz w:val="26"/>
          <w:szCs w:val="26"/>
        </w:rPr>
        <w:t>ork</w:t>
      </w:r>
      <w:r w:rsidR="00A92A71" w:rsidRPr="00A5682B">
        <w:rPr>
          <w:sz w:val="26"/>
          <w:szCs w:val="26"/>
        </w:rPr>
        <w:t xml:space="preserve"> is a process to address health priorities in the </w:t>
      </w:r>
      <w:r w:rsidRPr="00A5682B">
        <w:rPr>
          <w:sz w:val="26"/>
          <w:szCs w:val="26"/>
        </w:rPr>
        <w:t>way that will</w:t>
      </w:r>
      <w:r w:rsidR="00FE734F">
        <w:rPr>
          <w:sz w:val="26"/>
          <w:szCs w:val="26"/>
        </w:rPr>
        <w:t xml:space="preserve"> have the greatest</w:t>
      </w:r>
      <w:r w:rsidR="00A92A71" w:rsidRPr="00A5682B">
        <w:rPr>
          <w:sz w:val="26"/>
          <w:szCs w:val="26"/>
        </w:rPr>
        <w:t xml:space="preserve"> impact </w:t>
      </w:r>
      <w:r w:rsidR="00FE734F">
        <w:rPr>
          <w:sz w:val="26"/>
          <w:szCs w:val="26"/>
        </w:rPr>
        <w:t xml:space="preserve">on </w:t>
      </w:r>
      <w:r w:rsidR="00A92A71" w:rsidRPr="00A5682B">
        <w:rPr>
          <w:sz w:val="26"/>
          <w:szCs w:val="26"/>
        </w:rPr>
        <w:t>a community. Jackson County</w:t>
      </w:r>
      <w:r w:rsidRPr="00A5682B">
        <w:rPr>
          <w:sz w:val="26"/>
          <w:szCs w:val="26"/>
        </w:rPr>
        <w:t xml:space="preserve">, population 19,848, </w:t>
      </w:r>
      <w:r w:rsidR="00A92A71" w:rsidRPr="00A5682B">
        <w:rPr>
          <w:sz w:val="26"/>
          <w:szCs w:val="26"/>
        </w:rPr>
        <w:t>received a Strategic Prevention Framework State Incentive Grant (SPF SIG) from the Iowa Department of Public Health (IDPH) in 2011 to address underage and adult binge drinking.</w:t>
      </w:r>
      <w:r w:rsidR="00E1569A" w:rsidRPr="00A5682B">
        <w:rPr>
          <w:sz w:val="26"/>
          <w:szCs w:val="26"/>
        </w:rPr>
        <w:t xml:space="preserve"> At the time, the Jackson County Prevention Coalition (JCPC) </w:t>
      </w:r>
      <w:r w:rsidR="00632F37">
        <w:rPr>
          <w:sz w:val="26"/>
          <w:szCs w:val="26"/>
        </w:rPr>
        <w:t xml:space="preserve">had been together for </w:t>
      </w:r>
      <w:r w:rsidR="00FE734F">
        <w:rPr>
          <w:sz w:val="26"/>
          <w:szCs w:val="26"/>
        </w:rPr>
        <w:t xml:space="preserve">just </w:t>
      </w:r>
      <w:r w:rsidR="00632F37">
        <w:rPr>
          <w:sz w:val="26"/>
          <w:szCs w:val="26"/>
        </w:rPr>
        <w:t>a few years</w:t>
      </w:r>
      <w:r w:rsidR="00FE734F">
        <w:rPr>
          <w:sz w:val="26"/>
          <w:szCs w:val="26"/>
        </w:rPr>
        <w:t>, but</w:t>
      </w:r>
      <w:r w:rsidR="00E1569A" w:rsidRPr="00A5682B">
        <w:rPr>
          <w:sz w:val="26"/>
          <w:szCs w:val="26"/>
        </w:rPr>
        <w:t xml:space="preserve"> </w:t>
      </w:r>
      <w:r w:rsidR="00632F37">
        <w:rPr>
          <w:sz w:val="26"/>
          <w:szCs w:val="26"/>
        </w:rPr>
        <w:t xml:space="preserve">was </w:t>
      </w:r>
      <w:r w:rsidR="00E1569A" w:rsidRPr="00A5682B">
        <w:rPr>
          <w:sz w:val="26"/>
          <w:szCs w:val="26"/>
        </w:rPr>
        <w:t xml:space="preserve">ready for renewal.  </w:t>
      </w:r>
    </w:p>
    <w:p w:rsidR="00E1569A" w:rsidRPr="00A5682B" w:rsidRDefault="00A92A71" w:rsidP="00B04565">
      <w:pPr>
        <w:rPr>
          <w:sz w:val="26"/>
          <w:szCs w:val="26"/>
        </w:rPr>
      </w:pPr>
      <w:r w:rsidRPr="00A5682B">
        <w:rPr>
          <w:sz w:val="26"/>
          <w:szCs w:val="26"/>
        </w:rPr>
        <w:t xml:space="preserve">The first step of the SPF is </w:t>
      </w:r>
      <w:r w:rsidR="00DD751E" w:rsidRPr="00A5682B">
        <w:rPr>
          <w:sz w:val="26"/>
          <w:szCs w:val="26"/>
        </w:rPr>
        <w:t>ASSESSMENT</w:t>
      </w:r>
      <w:r w:rsidR="00E1569A" w:rsidRPr="00A5682B">
        <w:rPr>
          <w:sz w:val="26"/>
          <w:szCs w:val="26"/>
        </w:rPr>
        <w:t xml:space="preserve"> to determine why a priority is a concern specific to the county</w:t>
      </w:r>
      <w:r w:rsidRPr="00A5682B">
        <w:rPr>
          <w:sz w:val="26"/>
          <w:szCs w:val="26"/>
        </w:rPr>
        <w:t xml:space="preserve">. </w:t>
      </w:r>
      <w:r w:rsidR="00E1569A" w:rsidRPr="00A5682B">
        <w:rPr>
          <w:sz w:val="26"/>
          <w:szCs w:val="26"/>
        </w:rPr>
        <w:t xml:space="preserve">JCPC formed a </w:t>
      </w:r>
      <w:r w:rsidRPr="00A5682B">
        <w:rPr>
          <w:sz w:val="26"/>
          <w:szCs w:val="26"/>
        </w:rPr>
        <w:t xml:space="preserve">Local Epidemiology Workgroup (LEW) </w:t>
      </w:r>
      <w:r w:rsidR="00E1569A" w:rsidRPr="00A5682B">
        <w:rPr>
          <w:sz w:val="26"/>
          <w:szCs w:val="26"/>
        </w:rPr>
        <w:t>and started examining</w:t>
      </w:r>
      <w:r w:rsidRPr="00A5682B">
        <w:rPr>
          <w:sz w:val="26"/>
          <w:szCs w:val="26"/>
        </w:rPr>
        <w:t xml:space="preserve"> </w:t>
      </w:r>
      <w:r w:rsidR="00E1569A" w:rsidRPr="00A5682B">
        <w:rPr>
          <w:sz w:val="26"/>
          <w:szCs w:val="26"/>
        </w:rPr>
        <w:t xml:space="preserve">consequence </w:t>
      </w:r>
      <w:r w:rsidR="00DD751E" w:rsidRPr="00A5682B">
        <w:rPr>
          <w:sz w:val="26"/>
          <w:szCs w:val="26"/>
        </w:rPr>
        <w:t>data</w:t>
      </w:r>
      <w:r w:rsidR="00E1569A" w:rsidRPr="00A5682B">
        <w:rPr>
          <w:sz w:val="26"/>
          <w:szCs w:val="26"/>
        </w:rPr>
        <w:t xml:space="preserve"> provided by the State Epidemiology Chair</w:t>
      </w:r>
      <w:r w:rsidRPr="00A5682B">
        <w:rPr>
          <w:sz w:val="26"/>
          <w:szCs w:val="26"/>
        </w:rPr>
        <w:t>.</w:t>
      </w:r>
      <w:r w:rsidR="00DD751E" w:rsidRPr="00A5682B">
        <w:rPr>
          <w:sz w:val="26"/>
          <w:szCs w:val="26"/>
        </w:rPr>
        <w:t xml:space="preserve"> </w:t>
      </w:r>
      <w:r w:rsidR="00E1569A" w:rsidRPr="00A5682B">
        <w:rPr>
          <w:sz w:val="26"/>
          <w:szCs w:val="26"/>
        </w:rPr>
        <w:t xml:space="preserve">JCPC </w:t>
      </w:r>
      <w:r w:rsidR="007A37D6" w:rsidRPr="00A5682B">
        <w:rPr>
          <w:sz w:val="26"/>
          <w:szCs w:val="26"/>
        </w:rPr>
        <w:t>LEW members</w:t>
      </w:r>
      <w:r w:rsidR="000A23F0" w:rsidRPr="00A5682B">
        <w:rPr>
          <w:sz w:val="26"/>
          <w:szCs w:val="26"/>
        </w:rPr>
        <w:t xml:space="preserve"> include</w:t>
      </w:r>
      <w:r w:rsidR="007A37D6" w:rsidRPr="00A5682B">
        <w:rPr>
          <w:sz w:val="26"/>
          <w:szCs w:val="26"/>
        </w:rPr>
        <w:t xml:space="preserve"> law enforcement and county attorney and courts personnel </w:t>
      </w:r>
      <w:r w:rsidR="000A23F0" w:rsidRPr="00A5682B">
        <w:rPr>
          <w:sz w:val="26"/>
          <w:szCs w:val="26"/>
        </w:rPr>
        <w:t>who felt</w:t>
      </w:r>
      <w:r w:rsidR="00E1569A" w:rsidRPr="00A5682B">
        <w:rPr>
          <w:sz w:val="26"/>
          <w:szCs w:val="26"/>
        </w:rPr>
        <w:t xml:space="preserve"> </w:t>
      </w:r>
      <w:r w:rsidR="007A37D6" w:rsidRPr="00A5682B">
        <w:rPr>
          <w:sz w:val="26"/>
          <w:szCs w:val="26"/>
        </w:rPr>
        <w:t>information</w:t>
      </w:r>
      <w:r w:rsidR="00E1569A" w:rsidRPr="00A5682B">
        <w:rPr>
          <w:sz w:val="26"/>
          <w:szCs w:val="26"/>
        </w:rPr>
        <w:t xml:space="preserve"> provided by the state</w:t>
      </w:r>
      <w:r w:rsidR="007A37D6" w:rsidRPr="00A5682B">
        <w:rPr>
          <w:sz w:val="26"/>
          <w:szCs w:val="26"/>
        </w:rPr>
        <w:t xml:space="preserve"> did not accurately reflect what was happening </w:t>
      </w:r>
      <w:r w:rsidR="00E1569A" w:rsidRPr="00A5682B">
        <w:rPr>
          <w:sz w:val="26"/>
          <w:szCs w:val="26"/>
        </w:rPr>
        <w:t>locally</w:t>
      </w:r>
      <w:r w:rsidR="007A37D6" w:rsidRPr="00A5682B">
        <w:rPr>
          <w:sz w:val="26"/>
          <w:szCs w:val="26"/>
        </w:rPr>
        <w:t>.</w:t>
      </w:r>
      <w:r w:rsidR="00E1569A" w:rsidRPr="00A5682B">
        <w:rPr>
          <w:sz w:val="26"/>
          <w:szCs w:val="26"/>
        </w:rPr>
        <w:t xml:space="preserve"> </w:t>
      </w:r>
    </w:p>
    <w:p w:rsidR="001D1FAD" w:rsidRPr="00A5682B" w:rsidRDefault="00E1569A" w:rsidP="00B04565">
      <w:pPr>
        <w:rPr>
          <w:sz w:val="26"/>
          <w:szCs w:val="26"/>
        </w:rPr>
      </w:pPr>
      <w:r w:rsidRPr="00A5682B">
        <w:rPr>
          <w:sz w:val="26"/>
          <w:szCs w:val="26"/>
        </w:rPr>
        <w:t>Law enforcement shared anecdotal information that reflected a different picture. Workgroup members discussed discrepancies in data regarding suspended sentences due to p</w:t>
      </w:r>
      <w:r w:rsidR="001D1FAD" w:rsidRPr="00A5682B">
        <w:rPr>
          <w:sz w:val="26"/>
          <w:szCs w:val="26"/>
        </w:rPr>
        <w:t>lea bargaining, need for confidentiality when dealing with youth, and varied intervals between arrest and conviction. As a result, t</w:t>
      </w:r>
      <w:r w:rsidR="000A23F0" w:rsidRPr="00A5682B">
        <w:rPr>
          <w:sz w:val="26"/>
          <w:szCs w:val="26"/>
        </w:rPr>
        <w:t>he county attorney worked</w:t>
      </w:r>
      <w:r w:rsidR="007A37D6" w:rsidRPr="00A5682B">
        <w:rPr>
          <w:sz w:val="26"/>
          <w:szCs w:val="26"/>
        </w:rPr>
        <w:t xml:space="preserve"> with the clerk of court to</w:t>
      </w:r>
      <w:r w:rsidR="000A23F0" w:rsidRPr="00A5682B">
        <w:rPr>
          <w:sz w:val="26"/>
          <w:szCs w:val="26"/>
        </w:rPr>
        <w:t xml:space="preserve"> track conviction numbers.</w:t>
      </w:r>
      <w:r w:rsidR="00DD751E" w:rsidRPr="00A5682B">
        <w:rPr>
          <w:sz w:val="26"/>
          <w:szCs w:val="26"/>
        </w:rPr>
        <w:t xml:space="preserve"> </w:t>
      </w:r>
    </w:p>
    <w:tbl>
      <w:tblPr>
        <w:tblStyle w:val="TableGrid"/>
        <w:tblpPr w:leftFromText="288" w:rightFromText="288" w:bottomFromText="101" w:vertAnchor="text" w:horzAnchor="margin" w:tblpX="108" w:tblpY="62"/>
        <w:tblOverlap w:val="never"/>
        <w:tblW w:w="0" w:type="auto"/>
        <w:tblLook w:val="04A0"/>
      </w:tblPr>
      <w:tblGrid>
        <w:gridCol w:w="4410"/>
        <w:gridCol w:w="726"/>
        <w:gridCol w:w="726"/>
        <w:gridCol w:w="726"/>
      </w:tblGrid>
      <w:tr w:rsidR="001D1FAD" w:rsidRPr="00A5682B" w:rsidTr="000B70C8">
        <w:tc>
          <w:tcPr>
            <w:tcW w:w="6588" w:type="dxa"/>
            <w:gridSpan w:val="4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Jackson County Conviction Numbers</w:t>
            </w:r>
          </w:p>
        </w:tc>
      </w:tr>
      <w:tr w:rsidR="000B70C8" w:rsidRPr="00A5682B" w:rsidTr="000B70C8">
        <w:tc>
          <w:tcPr>
            <w:tcW w:w="4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rPr>
                <w:i/>
                <w:color w:val="2B3616"/>
                <w:sz w:val="26"/>
                <w:szCs w:val="26"/>
              </w:rPr>
            </w:pPr>
            <w:r w:rsidRPr="00A5682B">
              <w:rPr>
                <w:i/>
                <w:color w:val="2B3616"/>
                <w:sz w:val="26"/>
                <w:szCs w:val="26"/>
              </w:rPr>
              <w:t>CHARGE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i/>
                <w:color w:val="2B3616"/>
                <w:sz w:val="26"/>
                <w:szCs w:val="26"/>
              </w:rPr>
            </w:pPr>
            <w:r w:rsidRPr="00A5682B">
              <w:rPr>
                <w:i/>
                <w:color w:val="2B3616"/>
                <w:sz w:val="26"/>
                <w:szCs w:val="26"/>
              </w:rPr>
              <w:t>FY12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i/>
                <w:color w:val="2B3616"/>
                <w:sz w:val="26"/>
                <w:szCs w:val="26"/>
              </w:rPr>
            </w:pPr>
            <w:r w:rsidRPr="00A5682B">
              <w:rPr>
                <w:i/>
                <w:color w:val="2B3616"/>
                <w:sz w:val="26"/>
                <w:szCs w:val="26"/>
              </w:rPr>
              <w:t>FY13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i/>
                <w:color w:val="2B3616"/>
                <w:sz w:val="26"/>
                <w:szCs w:val="26"/>
              </w:rPr>
            </w:pPr>
            <w:r w:rsidRPr="00A5682B">
              <w:rPr>
                <w:i/>
                <w:color w:val="2B3616"/>
                <w:sz w:val="26"/>
                <w:szCs w:val="26"/>
              </w:rPr>
              <w:t>FY14</w:t>
            </w:r>
          </w:p>
        </w:tc>
      </w:tr>
      <w:tr w:rsidR="001D1FAD" w:rsidRPr="00A5682B" w:rsidTr="000B70C8">
        <w:tc>
          <w:tcPr>
            <w:tcW w:w="4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Public Intoxication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62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42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36</w:t>
            </w:r>
          </w:p>
        </w:tc>
      </w:tr>
      <w:tr w:rsidR="000B70C8" w:rsidRPr="00A5682B" w:rsidTr="000B70C8">
        <w:tc>
          <w:tcPr>
            <w:tcW w:w="4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Possession of Alcohol Under Legal Age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NA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42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33</w:t>
            </w:r>
          </w:p>
        </w:tc>
      </w:tr>
      <w:tr w:rsidR="000B70C8" w:rsidRPr="00A5682B" w:rsidTr="000B70C8">
        <w:tc>
          <w:tcPr>
            <w:tcW w:w="4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Operating a Vehicle While Intoxicated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49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82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57</w:t>
            </w:r>
          </w:p>
        </w:tc>
      </w:tr>
      <w:tr w:rsidR="000B70C8" w:rsidRPr="00A5682B" w:rsidTr="000B70C8">
        <w:tc>
          <w:tcPr>
            <w:tcW w:w="441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Operating a Boat While Intoxicated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1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3</w:t>
            </w:r>
          </w:p>
        </w:tc>
        <w:tc>
          <w:tcPr>
            <w:tcW w:w="726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1D1FAD" w:rsidRPr="00A5682B" w:rsidRDefault="001D1FAD" w:rsidP="001D1FAD">
            <w:pPr>
              <w:jc w:val="center"/>
              <w:rPr>
                <w:color w:val="2B3616"/>
                <w:sz w:val="26"/>
                <w:szCs w:val="26"/>
              </w:rPr>
            </w:pPr>
            <w:r w:rsidRPr="00A5682B">
              <w:rPr>
                <w:color w:val="2B3616"/>
                <w:sz w:val="26"/>
                <w:szCs w:val="26"/>
              </w:rPr>
              <w:t>5</w:t>
            </w:r>
          </w:p>
        </w:tc>
      </w:tr>
    </w:tbl>
    <w:p w:rsidR="003160E4" w:rsidRPr="003160E4" w:rsidRDefault="000B70C8" w:rsidP="003160E4">
      <w:pPr>
        <w:spacing w:after="60"/>
        <w:rPr>
          <w:sz w:val="26"/>
          <w:szCs w:val="26"/>
        </w:rPr>
      </w:pPr>
      <w:r>
        <w:rPr>
          <w:sz w:val="26"/>
          <w:szCs w:val="26"/>
        </w:rPr>
        <w:t>Collecting data</w:t>
      </w:r>
      <w:r w:rsidR="00A5682B" w:rsidRPr="00A5682B">
        <w:rPr>
          <w:sz w:val="26"/>
          <w:szCs w:val="26"/>
        </w:rPr>
        <w:t xml:space="preserve"> </w:t>
      </w:r>
      <w:r w:rsidR="00E1569A" w:rsidRPr="00A5682B">
        <w:rPr>
          <w:sz w:val="26"/>
          <w:szCs w:val="26"/>
        </w:rPr>
        <w:t>this</w:t>
      </w:r>
      <w:r>
        <w:rPr>
          <w:sz w:val="26"/>
          <w:szCs w:val="26"/>
        </w:rPr>
        <w:t xml:space="preserve"> way</w:t>
      </w:r>
      <w:r w:rsidR="00E1569A" w:rsidRPr="00A5682B">
        <w:rPr>
          <w:sz w:val="26"/>
          <w:szCs w:val="26"/>
        </w:rPr>
        <w:t xml:space="preserve"> </w:t>
      </w:r>
      <w:r w:rsidR="001D1FAD" w:rsidRPr="00A5682B">
        <w:rPr>
          <w:sz w:val="26"/>
          <w:szCs w:val="26"/>
        </w:rPr>
        <w:t>m</w:t>
      </w:r>
      <w:r>
        <w:rPr>
          <w:sz w:val="26"/>
          <w:szCs w:val="26"/>
        </w:rPr>
        <w:t>ight</w:t>
      </w:r>
      <w:r w:rsidR="00E1569A" w:rsidRPr="00A5682B">
        <w:rPr>
          <w:sz w:val="26"/>
          <w:szCs w:val="26"/>
        </w:rPr>
        <w:t xml:space="preserve"> not happen in a larger </w:t>
      </w:r>
      <w:r>
        <w:rPr>
          <w:sz w:val="26"/>
          <w:szCs w:val="26"/>
        </w:rPr>
        <w:t>community</w:t>
      </w:r>
      <w:r w:rsidR="00E1569A" w:rsidRPr="00A5682B">
        <w:rPr>
          <w:sz w:val="26"/>
          <w:szCs w:val="26"/>
        </w:rPr>
        <w:t xml:space="preserve">. </w:t>
      </w:r>
      <w:r w:rsidR="001D1FAD" w:rsidRPr="00A5682B">
        <w:rPr>
          <w:sz w:val="26"/>
          <w:szCs w:val="26"/>
        </w:rPr>
        <w:t xml:space="preserve">However, </w:t>
      </w:r>
      <w:r>
        <w:rPr>
          <w:sz w:val="26"/>
          <w:szCs w:val="26"/>
        </w:rPr>
        <w:t xml:space="preserve">collaborations </w:t>
      </w:r>
      <w:r w:rsidR="001D1FAD" w:rsidRPr="00A5682B">
        <w:rPr>
          <w:sz w:val="26"/>
          <w:szCs w:val="26"/>
        </w:rPr>
        <w:t xml:space="preserve">between existing and new coalition members have </w:t>
      </w:r>
      <w:r w:rsidR="00A5682B" w:rsidRPr="00A5682B">
        <w:rPr>
          <w:sz w:val="26"/>
          <w:szCs w:val="26"/>
        </w:rPr>
        <w:t xml:space="preserve">been </w:t>
      </w:r>
      <w:r w:rsidR="001D1FAD" w:rsidRPr="00A5682B">
        <w:rPr>
          <w:sz w:val="26"/>
          <w:szCs w:val="26"/>
        </w:rPr>
        <w:t xml:space="preserve">improved by </w:t>
      </w:r>
      <w:r w:rsidR="00FE734F">
        <w:rPr>
          <w:sz w:val="26"/>
          <w:szCs w:val="26"/>
        </w:rPr>
        <w:t xml:space="preserve">working </w:t>
      </w:r>
      <w:r w:rsidR="001D1FAD" w:rsidRPr="00A5682B">
        <w:rPr>
          <w:sz w:val="26"/>
          <w:szCs w:val="26"/>
        </w:rPr>
        <w:t xml:space="preserve">through the process of the SPF.  </w:t>
      </w:r>
      <w:r w:rsidR="004C74E8">
        <w:rPr>
          <w:sz w:val="26"/>
          <w:szCs w:val="26"/>
        </w:rPr>
        <w:t>Assessment i</w:t>
      </w:r>
      <w:r w:rsidR="00A5682B" w:rsidRPr="00A5682B">
        <w:rPr>
          <w:sz w:val="26"/>
          <w:szCs w:val="26"/>
        </w:rPr>
        <w:t xml:space="preserve">s the first step, but </w:t>
      </w:r>
      <w:r>
        <w:rPr>
          <w:sz w:val="26"/>
          <w:szCs w:val="26"/>
        </w:rPr>
        <w:t xml:space="preserve">as </w:t>
      </w:r>
      <w:r w:rsidR="00A5682B" w:rsidRPr="00A5682B">
        <w:rPr>
          <w:sz w:val="26"/>
          <w:szCs w:val="26"/>
        </w:rPr>
        <w:t>the coalition comple</w:t>
      </w:r>
      <w:r w:rsidR="004C74E8">
        <w:rPr>
          <w:sz w:val="26"/>
          <w:szCs w:val="26"/>
        </w:rPr>
        <w:t xml:space="preserve">ted each phase of the cycle </w:t>
      </w:r>
      <w:r>
        <w:rPr>
          <w:sz w:val="26"/>
          <w:szCs w:val="26"/>
        </w:rPr>
        <w:t>we</w:t>
      </w:r>
      <w:r w:rsidR="00A5682B" w:rsidRPr="00A5682B">
        <w:rPr>
          <w:sz w:val="26"/>
          <w:szCs w:val="26"/>
        </w:rPr>
        <w:t xml:space="preserve"> learned that all steps </w:t>
      </w:r>
      <w:r>
        <w:rPr>
          <w:sz w:val="26"/>
          <w:szCs w:val="26"/>
        </w:rPr>
        <w:t xml:space="preserve">… </w:t>
      </w:r>
      <w:r w:rsidR="00FE734F">
        <w:rPr>
          <w:sz w:val="26"/>
          <w:szCs w:val="26"/>
        </w:rPr>
        <w:t>and all partners</w:t>
      </w:r>
      <w:r>
        <w:rPr>
          <w:sz w:val="26"/>
          <w:szCs w:val="26"/>
        </w:rPr>
        <w:t xml:space="preserve"> …</w:t>
      </w:r>
      <w:r w:rsidR="00FE734F">
        <w:rPr>
          <w:sz w:val="26"/>
          <w:szCs w:val="26"/>
        </w:rPr>
        <w:t xml:space="preserve"> </w:t>
      </w:r>
      <w:r w:rsidR="00A5682B" w:rsidRPr="00A5682B">
        <w:rPr>
          <w:sz w:val="26"/>
          <w:szCs w:val="26"/>
        </w:rPr>
        <w:t xml:space="preserve">are necessary in order to make a difference in the community. </w:t>
      </w:r>
      <w:bookmarkStart w:id="0" w:name="_GoBack"/>
      <w:bookmarkEnd w:id="0"/>
    </w:p>
    <w:sectPr w:rsidR="003160E4" w:rsidRPr="003160E4" w:rsidSect="00BF3B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36" w:rsidRDefault="005C0036" w:rsidP="003160E4">
      <w:pPr>
        <w:spacing w:after="0" w:line="240" w:lineRule="auto"/>
      </w:pPr>
      <w:r>
        <w:separator/>
      </w:r>
    </w:p>
  </w:endnote>
  <w:endnote w:type="continuationSeparator" w:id="0">
    <w:p w:rsidR="005C0036" w:rsidRDefault="005C0036" w:rsidP="0031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4" w:rsidRPr="003160E4" w:rsidRDefault="003160E4" w:rsidP="003160E4">
    <w:pPr>
      <w:pStyle w:val="Footer"/>
      <w:jc w:val="center"/>
      <w:rPr>
        <w:sz w:val="20"/>
      </w:rPr>
    </w:pPr>
    <w:r w:rsidRPr="003160E4">
      <w:rPr>
        <w:sz w:val="20"/>
      </w:rPr>
      <w:t xml:space="preserve">For more information contact Maribeth Bousman, SPF SIG Coordinator: </w:t>
    </w:r>
    <w:hyperlink r:id="rId1" w:history="1">
      <w:r w:rsidRPr="003160E4">
        <w:rPr>
          <w:rStyle w:val="Hyperlink"/>
          <w:sz w:val="20"/>
        </w:rPr>
        <w:t>mbousman@asac.us</w:t>
      </w:r>
    </w:hyperlink>
    <w:r w:rsidRPr="003160E4">
      <w:rPr>
        <w:sz w:val="20"/>
      </w:rPr>
      <w:t xml:space="preserve"> or 563.652.2215</w:t>
    </w:r>
  </w:p>
  <w:p w:rsidR="003160E4" w:rsidRDefault="00316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36" w:rsidRDefault="005C0036" w:rsidP="003160E4">
      <w:pPr>
        <w:spacing w:after="0" w:line="240" w:lineRule="auto"/>
      </w:pPr>
      <w:r>
        <w:separator/>
      </w:r>
    </w:p>
  </w:footnote>
  <w:footnote w:type="continuationSeparator" w:id="0">
    <w:p w:rsidR="005C0036" w:rsidRDefault="005C0036" w:rsidP="00316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565"/>
    <w:rsid w:val="000A23F0"/>
    <w:rsid w:val="000B70C8"/>
    <w:rsid w:val="001D1FAD"/>
    <w:rsid w:val="003160E4"/>
    <w:rsid w:val="0032343C"/>
    <w:rsid w:val="00390984"/>
    <w:rsid w:val="003B0F09"/>
    <w:rsid w:val="004C74E8"/>
    <w:rsid w:val="00533B60"/>
    <w:rsid w:val="005C0036"/>
    <w:rsid w:val="00615F10"/>
    <w:rsid w:val="00632F37"/>
    <w:rsid w:val="007A37D6"/>
    <w:rsid w:val="00893CCF"/>
    <w:rsid w:val="009404E6"/>
    <w:rsid w:val="00A5682B"/>
    <w:rsid w:val="00A92A71"/>
    <w:rsid w:val="00B04565"/>
    <w:rsid w:val="00BC6DF9"/>
    <w:rsid w:val="00BF3B8A"/>
    <w:rsid w:val="00DD751E"/>
    <w:rsid w:val="00E1569A"/>
    <w:rsid w:val="00F62FB9"/>
    <w:rsid w:val="00F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E4"/>
  </w:style>
  <w:style w:type="paragraph" w:styleId="Footer">
    <w:name w:val="footer"/>
    <w:basedOn w:val="Normal"/>
    <w:link w:val="FooterChar"/>
    <w:uiPriority w:val="99"/>
    <w:unhideWhenUsed/>
    <w:rsid w:val="0031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E4"/>
  </w:style>
  <w:style w:type="character" w:styleId="Hyperlink">
    <w:name w:val="Hyperlink"/>
    <w:basedOn w:val="DefaultParagraphFont"/>
    <w:uiPriority w:val="99"/>
    <w:unhideWhenUsed/>
    <w:rsid w:val="00316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0E4"/>
  </w:style>
  <w:style w:type="paragraph" w:styleId="Footer">
    <w:name w:val="footer"/>
    <w:basedOn w:val="Normal"/>
    <w:link w:val="FooterChar"/>
    <w:uiPriority w:val="99"/>
    <w:unhideWhenUsed/>
    <w:rsid w:val="00316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0E4"/>
  </w:style>
  <w:style w:type="character" w:styleId="Hyperlink">
    <w:name w:val="Hyperlink"/>
    <w:basedOn w:val="DefaultParagraphFont"/>
    <w:uiPriority w:val="99"/>
    <w:unhideWhenUsed/>
    <w:rsid w:val="00316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.jackson.ia.us/images/community/Jackson%20County%20map.gi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ousman@asa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927775DF7CB49BC309B89DCF02CC1" ma:contentTypeVersion="0" ma:contentTypeDescription="Create a new document." ma:contentTypeScope="" ma:versionID="757ee6f6e7a6827620e76db3717d46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D5AFE7-80DC-4EF8-96EE-3AAB72217D7F}"/>
</file>

<file path=customXml/itemProps2.xml><?xml version="1.0" encoding="utf-8"?>
<ds:datastoreItem xmlns:ds="http://schemas.openxmlformats.org/officeDocument/2006/customXml" ds:itemID="{05C8E388-9E12-426D-8506-98384BC1F3E9}"/>
</file>

<file path=customXml/itemProps3.xml><?xml version="1.0" encoding="utf-8"?>
<ds:datastoreItem xmlns:ds="http://schemas.openxmlformats.org/officeDocument/2006/customXml" ds:itemID="{B60AAC59-08A3-4C9F-9830-7273D0525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</dc:creator>
  <cp:lastModifiedBy>HelpingServices</cp:lastModifiedBy>
  <cp:revision>2</cp:revision>
  <cp:lastPrinted>2015-01-23T15:29:00Z</cp:lastPrinted>
  <dcterms:created xsi:type="dcterms:W3CDTF">2015-01-30T13:05:00Z</dcterms:created>
  <dcterms:modified xsi:type="dcterms:W3CDTF">2015-01-30T13:05:00Z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0x010100AAF927775DF7CB49BC309B89DCF02CC1</vt:lpwstr>
  </property>
</Properties>
</file>